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采购项目名称：字牌灯维保服务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采购项目编号：NMZL2021-037</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项 目 流水号：[2021]10006号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申 请 科  室：后勤保障部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采 购 负责人：齐虎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7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jc w:val="left"/>
        <w:rPr>
          <w:rFonts w:ascii="Calibri" w:hAnsi="黑体"/>
          <w:caps/>
          <w:sz w:val="32"/>
          <w:szCs w:val="32"/>
        </w:rPr>
      </w:pPr>
      <w:bookmarkStart w:id="2" w:name="_Toc373226408"/>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字牌灯维保服务</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hint="eastAsia"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字牌灯维保服务</w:t>
      </w:r>
      <w:r>
        <w:rPr>
          <w:rFonts w:hint="eastAsia" w:asciiTheme="minorEastAsia" w:hAnsiTheme="minorEastAsia"/>
          <w:sz w:val="24"/>
          <w:szCs w:val="24"/>
        </w:rPr>
        <w:t>项目</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项目流水号：</w:t>
      </w:r>
      <w:r>
        <w:rPr>
          <w:rFonts w:hint="eastAsia" w:asciiTheme="minorEastAsia" w:hAnsiTheme="minorEastAsia"/>
          <w:sz w:val="24"/>
          <w:szCs w:val="24"/>
          <w:lang w:val="en-US" w:eastAsia="zh-CN"/>
        </w:rPr>
        <w:t>[</w:t>
      </w:r>
      <w:r>
        <w:rPr>
          <w:rFonts w:asciiTheme="minorEastAsia" w:hAnsiTheme="minorEastAsia"/>
          <w:sz w:val="24"/>
          <w:szCs w:val="24"/>
        </w:rPr>
        <w:t>2021]10006号</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项目编号：NMZL2021-0</w:t>
      </w:r>
      <w:r>
        <w:rPr>
          <w:rFonts w:hint="eastAsia" w:asciiTheme="minorEastAsia" w:hAnsiTheme="minorEastAsia"/>
          <w:sz w:val="24"/>
          <w:szCs w:val="24"/>
          <w:lang w:val="en-US" w:eastAsia="zh-CN"/>
        </w:rPr>
        <w:t>37</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字牌灯维保服务</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详见询标文件</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第</w:t>
            </w:r>
            <w:r>
              <w:rPr>
                <w:rFonts w:hint="eastAsia" w:asciiTheme="minorEastAsia" w:hAnsiTheme="minorEastAsia"/>
                <w:sz w:val="24"/>
                <w:szCs w:val="24"/>
              </w:rPr>
              <w:t>三</w:t>
            </w:r>
            <w:r>
              <w:rPr>
                <w:rFonts w:asciiTheme="minorEastAsia" w:hAnsiTheme="minorEastAsia"/>
                <w:sz w:val="24"/>
                <w:szCs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180000</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操作人员需具备高空作业证、低压电工作业证、焊接与热切割作业证</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4、投标单位近3个月为企业员工缴纳社保资金的凭证；</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5、投标单位近3个月的纳税证明；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6、投标人上一年度财务报表；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7、供应商未被列入信用中国网、中国政府采购网失信名单，且近三年内没有违法犯罪不良记录；</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8、本次采购不接受联合体投标；</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9、本项目专门面向中小企业，投标单位需提供相应证明材料。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7</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w:t>
      </w:r>
      <w:r>
        <w:rPr>
          <w:rFonts w:hint="eastAsia" w:asciiTheme="minorEastAsia" w:hAnsiTheme="minorEastAsia" w:eastAsiaTheme="minorEastAsia"/>
          <w:sz w:val="24"/>
          <w:szCs w:val="24"/>
          <w:u w:val="single"/>
        </w:rPr>
        <w:t xml:space="preserve">9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w:t>
      </w:r>
      <w:r>
        <w:rPr>
          <w:rFonts w:hint="eastAsia" w:cs="Arial" w:asciiTheme="minorEastAsia" w:hAnsiTheme="minorEastAsia"/>
          <w:sz w:val="24"/>
          <w:szCs w:val="24"/>
          <w:u w:val="single"/>
          <w:lang w:val="en-US" w:eastAsia="zh-CN"/>
        </w:rPr>
        <w:t>3</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w:t>
      </w:r>
      <w:r>
        <w:rPr>
          <w:rFonts w:hint="eastAsia" w:asciiTheme="minorEastAsia" w:hAnsiTheme="minorEastAsia" w:eastAsiaTheme="minorEastAsia"/>
          <w:sz w:val="24"/>
          <w:szCs w:val="24"/>
          <w:u w:val="single"/>
        </w:rPr>
        <w:t xml:space="preserve">9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15:30  </w:t>
      </w:r>
      <w:r>
        <w:rPr>
          <w:rFonts w:hint="eastAsia" w:asciiTheme="minorEastAsia" w:hAnsiTheme="minorEastAsia" w:eastAsiaTheme="minorEastAsia"/>
          <w:sz w:val="24"/>
          <w:szCs w:val="24"/>
        </w:rPr>
        <w:t>时</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w:t>
      </w:r>
      <w:r>
        <w:rPr>
          <w:rFonts w:hint="eastAsia" w:cs="Arial" w:asciiTheme="minorEastAsia" w:hAnsiTheme="minorEastAsia" w:eastAsiaTheme="minorEastAsia"/>
          <w:sz w:val="24"/>
          <w:szCs w:val="24"/>
          <w:u w:val="single"/>
          <w:lang w:val="en-US" w:eastAsia="zh-CN"/>
        </w:rPr>
        <w:t>3</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7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Arial"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spacing w:line="360" w:lineRule="auto"/>
        <w:ind w:right="480" w:firstLine="5280" w:firstLineChars="2200"/>
        <w:textAlignment w:val="auto"/>
        <w:rPr>
          <w:rFonts w:asciiTheme="minorEastAsia" w:hAnsiTheme="minorEastAsia"/>
          <w:sz w:val="24"/>
          <w:szCs w:val="24"/>
        </w:rPr>
      </w:pPr>
      <w:bookmarkStart w:id="38" w:name="_GoBack"/>
      <w:bookmarkEnd w:id="38"/>
      <w:r>
        <w:rPr>
          <w:rFonts w:hint="eastAsia" w:asciiTheme="minorEastAsia" w:hAnsiTheme="minorEastAsia"/>
          <w:sz w:val="24"/>
          <w:szCs w:val="24"/>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24" w:firstLineChars="177"/>
        <w:jc w:val="center"/>
        <w:textAlignment w:val="auto"/>
        <w:rPr>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2021</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9</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1</w:t>
      </w:r>
      <w:r>
        <w:rPr>
          <w:rFonts w:hint="eastAsia" w:asciiTheme="minorEastAsia" w:hAnsiTheme="minorEastAsia"/>
          <w:sz w:val="24"/>
          <w:szCs w:val="24"/>
          <w:u w:val="single"/>
        </w:rPr>
        <w:t xml:space="preserve">7  </w:t>
      </w:r>
      <w:r>
        <w:rPr>
          <w:rFonts w:asciiTheme="minorEastAsia" w:hAnsiTheme="minorEastAsia"/>
          <w:sz w:val="24"/>
          <w:szCs w:val="24"/>
        </w:rPr>
        <w:t>日</w:t>
      </w:r>
    </w:p>
    <w:p/>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904"/>
      <w:bookmarkStart w:id="4" w:name="_Toc26377983"/>
      <w:bookmarkStart w:id="5" w:name="_Toc26377872"/>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szCs w:val="24"/>
              </w:rPr>
              <w:t>字牌灯维保服务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NMZL2021-0</w:t>
            </w:r>
            <w:r>
              <w:rPr>
                <w:rFonts w:hint="eastAsia" w:ascii="宋体" w:hAnsi="宋体"/>
                <w:sz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w:t>
            </w:r>
            <w:r>
              <w:rPr>
                <w:rFonts w:hint="eastAsia" w:ascii="宋体" w:hAnsi="宋体"/>
                <w:sz w:val="24"/>
                <w:u w:val="single"/>
                <w:lang w:val="en-US" w:eastAsia="zh-CN"/>
              </w:rPr>
              <w:t>:00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15：30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3</w:t>
            </w:r>
            <w:r>
              <w:rPr>
                <w:rFonts w:hint="eastAsia" w:ascii="宋体" w:hAnsi="宋体"/>
                <w:sz w:val="24"/>
                <w:u w:val="single"/>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服务期</w:t>
            </w:r>
          </w:p>
        </w:tc>
        <w:tc>
          <w:tcPr>
            <w:tcW w:w="6434" w:type="dxa"/>
            <w:vAlign w:val="center"/>
          </w:tcPr>
          <w:p>
            <w:pPr>
              <w:rPr>
                <w:rFonts w:hint="eastAsia" w:ascii="宋体" w:hAnsi="宋体" w:eastAsia="宋体"/>
                <w:sz w:val="24"/>
                <w:lang w:val="en-US" w:eastAsia="zh-CN"/>
              </w:rPr>
            </w:pPr>
            <w:r>
              <w:rPr>
                <w:rFonts w:hint="eastAsia" w:ascii="宋体" w:hAnsi="宋体"/>
                <w:sz w:val="24"/>
                <w:u w:val="non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rPr>
                <w:rFonts w:ascii="宋体" w:hAnsi="宋体"/>
                <w:sz w:val="24"/>
              </w:rPr>
            </w:pPr>
            <w:r>
              <w:rPr>
                <w:rFonts w:hint="eastAsia" w:ascii="宋体" w:hAnsi="宋体"/>
                <w:sz w:val="24"/>
              </w:rPr>
              <w:t>如供应商属于小微企业，需填写响应文件第三条中的小微企业声明函，同时提供</w:t>
            </w:r>
            <w:r>
              <w:rPr>
                <w:rFonts w:ascii="宋体" w:hAnsi="宋体"/>
                <w:sz w:val="24"/>
              </w:rPr>
              <w:t>http://www.gsxt.gov.cn/index.html</w:t>
            </w:r>
          </w:p>
          <w:p>
            <w:pPr>
              <w:spacing w:line="360" w:lineRule="exact"/>
              <w:rPr>
                <w:rFonts w:ascii="宋体" w:hAnsi="宋体"/>
                <w:sz w:val="24"/>
              </w:rPr>
            </w:pPr>
            <w:r>
              <w:rPr>
                <w:rFonts w:ascii="宋体" w:hAnsi="宋体"/>
                <w:sz w:val="24"/>
              </w:rPr>
              <w:t>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564"/>
      <w:bookmarkStart w:id="7" w:name="_Toc26377878"/>
      <w:bookmarkStart w:id="8" w:name="_Toc26377910"/>
      <w:bookmarkStart w:id="9" w:name="_Toc26377989"/>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879"/>
      <w:bookmarkStart w:id="11" w:name="_Toc26377990"/>
      <w:bookmarkStart w:id="12" w:name="_Toc26377565"/>
      <w:bookmarkStart w:id="13" w:name="_Toc26377911"/>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Pr>
        <w:jc w:val="center"/>
        <w:rPr>
          <w:rFonts w:ascii="宋体" w:hAnsi="宋体"/>
          <w:b/>
          <w:sz w:val="32"/>
          <w:szCs w:val="32"/>
        </w:rPr>
      </w:pP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一</w:t>
      </w:r>
      <w:r>
        <w:rPr>
          <w:rFonts w:hint="eastAsia" w:cs="宋体" w:asciiTheme="minorEastAsia" w:hAnsiTheme="minorEastAsia"/>
          <w:sz w:val="28"/>
          <w:szCs w:val="28"/>
          <w:lang w:val="zh-CN"/>
        </w:rPr>
        <w:t>、服务内容</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1、字牌灯灯珠电源线路维修维护（含耗材）</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2、字牌灯本体及支持系统和固定点安全巡视检查维修维护防腐除锈及防锈漆涂覆，字牌灯系统防雷避雷设施有效性检查维修。（含耗材）</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3、根据季节变化或甲方要求调整字牌灯启闭时段。</w:t>
      </w:r>
    </w:p>
    <w:p>
      <w:pPr>
        <w:autoSpaceDE w:val="0"/>
        <w:autoSpaceDN w:val="0"/>
        <w:adjustRightInd w:val="0"/>
        <w:spacing w:line="360" w:lineRule="auto"/>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4、如医院新增字牌灯面积在所承保面积的10%以内，免费维保。</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5</w:t>
      </w:r>
      <w:r>
        <w:rPr>
          <w:rFonts w:hint="eastAsia" w:cs="宋体" w:asciiTheme="minorEastAsia" w:hAnsiTheme="minorEastAsia"/>
          <w:sz w:val="28"/>
          <w:szCs w:val="28"/>
          <w:lang w:val="zh-CN"/>
        </w:rPr>
        <w:t>、明细表</w:t>
      </w:r>
    </w:p>
    <w:tbl>
      <w:tblPr>
        <w:tblStyle w:val="34"/>
        <w:tblW w:w="9229" w:type="dxa"/>
        <w:tblInd w:w="0" w:type="dxa"/>
        <w:tblLayout w:type="autofit"/>
        <w:tblCellMar>
          <w:top w:w="0" w:type="dxa"/>
          <w:left w:w="0" w:type="dxa"/>
          <w:bottom w:w="0" w:type="dxa"/>
          <w:right w:w="0" w:type="dxa"/>
        </w:tblCellMar>
      </w:tblPr>
      <w:tblGrid>
        <w:gridCol w:w="4971"/>
        <w:gridCol w:w="1351"/>
        <w:gridCol w:w="669"/>
        <w:gridCol w:w="662"/>
        <w:gridCol w:w="632"/>
        <w:gridCol w:w="944"/>
      </w:tblGrid>
      <w:tr>
        <w:tblPrEx>
          <w:tblCellMar>
            <w:top w:w="0" w:type="dxa"/>
            <w:left w:w="0" w:type="dxa"/>
            <w:bottom w:w="0" w:type="dxa"/>
            <w:right w:w="0" w:type="dxa"/>
          </w:tblCellMar>
        </w:tblPrEx>
        <w:trPr>
          <w:trHeight w:val="1052" w:hRule="atLeast"/>
        </w:trPr>
        <w:tc>
          <w:tcPr>
            <w:tcW w:w="9229" w:type="dxa"/>
            <w:gridSpan w:val="6"/>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8"/>
                <w:szCs w:val="28"/>
              </w:rPr>
            </w:pPr>
            <w:r>
              <w:rPr>
                <w:rFonts w:hint="default" w:cs="宋体" w:asciiTheme="minorEastAsia" w:hAnsiTheme="minorEastAsia"/>
                <w:sz w:val="28"/>
                <w:szCs w:val="28"/>
                <w:lang w:val="zh-CN"/>
              </w:rPr>
              <w:t xml:space="preserve">（一）、  住院部楼顶大字面积明细   </w:t>
            </w:r>
            <w:r>
              <w:rPr>
                <w:rStyle w:val="99"/>
                <w:rFonts w:hint="default"/>
                <w:sz w:val="28"/>
                <w:szCs w:val="28"/>
              </w:rPr>
              <w:t xml:space="preserve">    </w:t>
            </w: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1、北侧</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 xml:space="preserve"> 备  注 </w:t>
            </w: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内蒙古肿瘤医院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2.1*2.4*10个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50.4</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医大附属人民医院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2.0*2.3*13个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59.8</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十字  标志</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1.3*1.9*23个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183.01</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2、南侧</w:t>
            </w: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内蒙古肿瘤医院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2.5*2.6*10个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医大附属人民医院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2.4*2.6*13个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十字  标志</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1.4*2.0*23个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233.54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3、西侧</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自治区肿瘤医院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2.1*2.4*10个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58.24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4、住院部、门诊部</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住院部</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1.6*2.1*3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住院部蒙文</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1.6x2x3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门诊部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p>
        </w:tc>
        <w:tc>
          <w:tcPr>
            <w:tcW w:w="93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49"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r>
      <w:tr>
        <w:tblPrEx>
          <w:tblCellMar>
            <w:top w:w="0" w:type="dxa"/>
            <w:left w:w="0" w:type="dxa"/>
            <w:bottom w:w="0" w:type="dxa"/>
            <w:right w:w="0" w:type="dxa"/>
          </w:tblCellMar>
        </w:tblPrEx>
        <w:trPr>
          <w:trHeight w:val="249"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r>
      <w:tr>
        <w:tblPrEx>
          <w:tblCellMar>
            <w:top w:w="0" w:type="dxa"/>
            <w:left w:w="0" w:type="dxa"/>
            <w:bottom w:w="0" w:type="dxa"/>
            <w:right w:w="0" w:type="dxa"/>
          </w:tblCellMar>
        </w:tblPrEx>
        <w:trPr>
          <w:trHeight w:val="664"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（二）、门诊部楼顶发光字明细表</w:t>
            </w:r>
          </w:p>
        </w:tc>
      </w:tr>
      <w:tr>
        <w:tblPrEx>
          <w:tblCellMar>
            <w:top w:w="0" w:type="dxa"/>
            <w:left w:w="0" w:type="dxa"/>
            <w:bottom w:w="0" w:type="dxa"/>
            <w:right w:w="0" w:type="dxa"/>
          </w:tblCellMar>
        </w:tblPrEx>
        <w:trPr>
          <w:trHeight w:val="346"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 xml:space="preserve">1、  门诊部大字面积明细       </w:t>
            </w:r>
          </w:p>
        </w:tc>
      </w:tr>
      <w:tr>
        <w:tblPrEx>
          <w:tblCellMar>
            <w:top w:w="0" w:type="dxa"/>
            <w:left w:w="0" w:type="dxa"/>
            <w:bottom w:w="0" w:type="dxa"/>
            <w:right w:w="0" w:type="dxa"/>
          </w:tblCellMar>
        </w:tblPrEx>
        <w:trPr>
          <w:trHeight w:val="1735"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drawing>
                <wp:anchor distT="0" distB="0" distL="114300" distR="114300" simplePos="0" relativeHeight="251664384" behindDoc="0" locked="0" layoutInCell="1" allowOverlap="1">
                  <wp:simplePos x="0" y="0"/>
                  <wp:positionH relativeFrom="column">
                    <wp:posOffset>190500</wp:posOffset>
                  </wp:positionH>
                  <wp:positionV relativeFrom="paragraph">
                    <wp:posOffset>290195</wp:posOffset>
                  </wp:positionV>
                  <wp:extent cx="5085080" cy="811530"/>
                  <wp:effectExtent l="0" t="0" r="1270" b="7620"/>
                  <wp:wrapNone/>
                  <wp:docPr id="3" name="Picture_328"/>
                  <wp:cNvGraphicFramePr/>
                  <a:graphic xmlns:a="http://schemas.openxmlformats.org/drawingml/2006/main">
                    <a:graphicData uri="http://schemas.openxmlformats.org/drawingml/2006/picture">
                      <pic:pic xmlns:pic="http://schemas.openxmlformats.org/drawingml/2006/picture">
                        <pic:nvPicPr>
                          <pic:cNvPr id="3" name="Picture_328"/>
                          <pic:cNvPicPr/>
                        </pic:nvPicPr>
                        <pic:blipFill>
                          <a:blip r:embed="rId7"/>
                          <a:stretch>
                            <a:fillRect/>
                          </a:stretch>
                        </pic:blipFill>
                        <pic:spPr>
                          <a:xfrm>
                            <a:off x="0" y="0"/>
                            <a:ext cx="5085080" cy="81153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61"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cs="宋体" w:asciiTheme="minorEastAsia" w:hAnsiTheme="minorEastAsia"/>
                <w:color w:val="000000"/>
                <w:szCs w:val="21"/>
              </w:rPr>
              <w:drawing>
                <wp:anchor distT="0" distB="0" distL="114300" distR="114300" simplePos="0" relativeHeight="251665408" behindDoc="0" locked="0" layoutInCell="1" allowOverlap="1">
                  <wp:simplePos x="0" y="0"/>
                  <wp:positionH relativeFrom="column">
                    <wp:posOffset>225425</wp:posOffset>
                  </wp:positionH>
                  <wp:positionV relativeFrom="paragraph">
                    <wp:posOffset>-118110</wp:posOffset>
                  </wp:positionV>
                  <wp:extent cx="5048885" cy="736600"/>
                  <wp:effectExtent l="0" t="0" r="18415" b="6350"/>
                  <wp:wrapNone/>
                  <wp:docPr id="4" name="Picture_329"/>
                  <wp:cNvGraphicFramePr/>
                  <a:graphic xmlns:a="http://schemas.openxmlformats.org/drawingml/2006/main">
                    <a:graphicData uri="http://schemas.openxmlformats.org/drawingml/2006/picture">
                      <pic:pic xmlns:pic="http://schemas.openxmlformats.org/drawingml/2006/picture">
                        <pic:nvPicPr>
                          <pic:cNvPr id="4" name="Picture_329"/>
                          <pic:cNvPicPr/>
                        </pic:nvPicPr>
                        <pic:blipFill>
                          <a:blip r:embed="rId8"/>
                          <a:stretch>
                            <a:fillRect/>
                          </a:stretch>
                        </pic:blipFill>
                        <pic:spPr>
                          <a:xfrm>
                            <a:off x="0" y="0"/>
                            <a:ext cx="5048885" cy="7366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sz w:val="22"/>
                <w:szCs w:val="22"/>
                <w:lang w:val="zh-CN"/>
              </w:rPr>
              <w:t xml:space="preserve">材料及工艺说明：                                                       </w:t>
            </w:r>
            <w:r>
              <w:rPr>
                <w:rFonts w:hint="eastAsia" w:cs="宋体" w:asciiTheme="minorEastAsia" w:hAnsiTheme="minorEastAsia"/>
                <w:sz w:val="22"/>
                <w:szCs w:val="22"/>
                <w:lang w:val="zh-CN"/>
              </w:rPr>
              <w:br w:type="textWrapping"/>
            </w:r>
            <w:r>
              <w:rPr>
                <w:rFonts w:hint="eastAsia" w:cs="宋体" w:asciiTheme="minorEastAsia" w:hAnsiTheme="minorEastAsia"/>
                <w:sz w:val="22"/>
                <w:szCs w:val="22"/>
                <w:lang w:val="zh-CN"/>
              </w:rPr>
              <w:t xml:space="preserve">1、采用“蓝景”牌12V外露光源，台湾“晶元”三合一大芯片封装，光源直径9mm，间距30mm；2、“创联”品牌电源，3C认证的；3、字壳采用1.5mm镀锌板激光切割，双面焊接；4、表面精打细磨、洁净处理后，静电喷涂； </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备  注</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4.2*4.2*1个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2.4*2.4*23个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2.4*1.3*17个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大写英文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0.7*42个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小写英文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0.5*45个</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22.5</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812"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b/>
                <w:color w:val="000000"/>
                <w:kern w:val="0"/>
                <w:szCs w:val="21"/>
              </w:rPr>
              <w:t>2、住院部与门诊部连廊楼顶发光字</w:t>
            </w:r>
          </w:p>
        </w:tc>
      </w:tr>
      <w:tr>
        <w:tblPrEx>
          <w:tblCellMar>
            <w:top w:w="0" w:type="dxa"/>
            <w:left w:w="0" w:type="dxa"/>
            <w:bottom w:w="0" w:type="dxa"/>
            <w:right w:w="0" w:type="dxa"/>
          </w:tblCellMar>
        </w:tblPrEx>
        <w:trPr>
          <w:trHeight w:val="2270"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66432" behindDoc="0" locked="0" layoutInCell="1" allowOverlap="1">
                  <wp:simplePos x="0" y="0"/>
                  <wp:positionH relativeFrom="column">
                    <wp:posOffset>2540</wp:posOffset>
                  </wp:positionH>
                  <wp:positionV relativeFrom="paragraph">
                    <wp:posOffset>241935</wp:posOffset>
                  </wp:positionV>
                  <wp:extent cx="5617210" cy="1094740"/>
                  <wp:effectExtent l="0" t="0" r="2540" b="10160"/>
                  <wp:wrapNone/>
                  <wp:docPr id="9" name="Picture_412"/>
                  <wp:cNvGraphicFramePr/>
                  <a:graphic xmlns:a="http://schemas.openxmlformats.org/drawingml/2006/main">
                    <a:graphicData uri="http://schemas.openxmlformats.org/drawingml/2006/picture">
                      <pic:pic xmlns:pic="http://schemas.openxmlformats.org/drawingml/2006/picture">
                        <pic:nvPicPr>
                          <pic:cNvPr id="9" name="Picture_412"/>
                          <pic:cNvPicPr/>
                        </pic:nvPicPr>
                        <pic:blipFill>
                          <a:blip r:embed="rId9"/>
                          <a:stretch>
                            <a:fillRect/>
                          </a:stretch>
                        </pic:blipFill>
                        <pic:spPr>
                          <a:xfrm>
                            <a:off x="0" y="0"/>
                            <a:ext cx="5617210" cy="109474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2*2*14个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2*1.2*9个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1.5*1.2*5个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0.7*23个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0.5*34个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554"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kern w:val="0"/>
                <w:szCs w:val="21"/>
              </w:rPr>
            </w:pPr>
          </w:p>
          <w:p>
            <w:pPr>
              <w:widowControl/>
              <w:jc w:val="left"/>
              <w:textAlignment w:val="center"/>
              <w:rPr>
                <w:rFonts w:cs="宋体" w:asciiTheme="minorEastAsia" w:hAnsiTheme="minorEastAsia"/>
                <w:b/>
                <w:color w:val="000000"/>
                <w:kern w:val="0"/>
                <w:szCs w:val="21"/>
              </w:rPr>
            </w:pPr>
          </w:p>
          <w:p>
            <w:pPr>
              <w:widowControl/>
              <w:textAlignment w:val="center"/>
              <w:rPr>
                <w:rFonts w:hint="eastAsia" w:cs="宋体" w:asciiTheme="minorEastAsia" w:hAnsiTheme="minorEastAsia"/>
                <w:sz w:val="28"/>
                <w:szCs w:val="28"/>
                <w:lang w:val="zh-CN"/>
              </w:rPr>
            </w:pPr>
            <w:r>
              <w:rPr>
                <w:rFonts w:hint="eastAsia" w:cs="宋体" w:asciiTheme="minorEastAsia" w:hAnsiTheme="minorEastAsia"/>
                <w:b/>
                <w:color w:val="000000"/>
                <w:kern w:val="0"/>
                <w:szCs w:val="21"/>
              </w:rPr>
              <w:t>3</w:t>
            </w:r>
            <w:r>
              <w:rPr>
                <w:rFonts w:hint="eastAsia" w:cs="宋体" w:asciiTheme="minorEastAsia" w:hAnsiTheme="minorEastAsia"/>
                <w:sz w:val="28"/>
                <w:szCs w:val="28"/>
                <w:lang w:val="zh-CN"/>
              </w:rPr>
              <w:t>、门诊——发光字</w:t>
            </w:r>
          </w:p>
          <w:p>
            <w:pPr>
              <w:widowControl/>
              <w:textAlignment w:val="center"/>
              <w:rPr>
                <w:rFonts w:cs="宋体" w:asciiTheme="minorEastAsia" w:hAnsiTheme="minorEastAsia"/>
                <w:b/>
                <w:color w:val="000000"/>
                <w:kern w:val="0"/>
                <w:szCs w:val="21"/>
              </w:rPr>
            </w:pPr>
          </w:p>
          <w:p>
            <w:pPr>
              <w:widowControl/>
              <w:textAlignment w:val="center"/>
              <w:rPr>
                <w:rFonts w:cs="宋体" w:asciiTheme="minorEastAsia" w:hAnsiTheme="minorEastAsia"/>
                <w:b/>
                <w:color w:val="000000"/>
                <w:kern w:val="0"/>
                <w:szCs w:val="21"/>
              </w:rPr>
            </w:pPr>
          </w:p>
          <w:p>
            <w:pPr>
              <w:widowControl/>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drawing>
                <wp:anchor distT="0" distB="0" distL="114300" distR="114300" simplePos="0" relativeHeight="251667456" behindDoc="0" locked="0" layoutInCell="1" allowOverlap="1">
                  <wp:simplePos x="0" y="0"/>
                  <wp:positionH relativeFrom="column">
                    <wp:posOffset>645160</wp:posOffset>
                  </wp:positionH>
                  <wp:positionV relativeFrom="paragraph">
                    <wp:posOffset>-49530</wp:posOffset>
                  </wp:positionV>
                  <wp:extent cx="3863340" cy="376555"/>
                  <wp:effectExtent l="0" t="0" r="3810" b="4445"/>
                  <wp:wrapNone/>
                  <wp:docPr id="5" name="Picture_347"/>
                  <wp:cNvGraphicFramePr/>
                  <a:graphic xmlns:a="http://schemas.openxmlformats.org/drawingml/2006/main">
                    <a:graphicData uri="http://schemas.openxmlformats.org/drawingml/2006/picture">
                      <pic:pic xmlns:pic="http://schemas.openxmlformats.org/drawingml/2006/picture">
                        <pic:nvPicPr>
                          <pic:cNvPr id="5" name="Picture_347"/>
                          <pic:cNvPicPr/>
                        </pic:nvPicPr>
                        <pic:blipFill>
                          <a:blip r:embed="rId10"/>
                          <a:stretch>
                            <a:fillRect/>
                          </a:stretch>
                        </pic:blipFill>
                        <pic:spPr>
                          <a:xfrm>
                            <a:off x="0" y="0"/>
                            <a:ext cx="3863340" cy="3765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 xml:space="preserve">4.32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1.8*1.8*2个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0.8*10个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346"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sz w:val="28"/>
                <w:szCs w:val="28"/>
                <w:lang w:val="zh-CN"/>
              </w:rPr>
              <w:t>4、补充发光字</w:t>
            </w:r>
          </w:p>
        </w:tc>
      </w:tr>
      <w:tr>
        <w:tblPrEx>
          <w:tblCellMar>
            <w:top w:w="0" w:type="dxa"/>
            <w:left w:w="0" w:type="dxa"/>
            <w:bottom w:w="0" w:type="dxa"/>
            <w:right w:w="0" w:type="dxa"/>
          </w:tblCellMar>
        </w:tblPrEx>
        <w:trPr>
          <w:trHeight w:val="659" w:hRule="atLeast"/>
        </w:trPr>
        <w:tc>
          <w:tcPr>
            <w:tcW w:w="9229" w:type="dxa"/>
            <w:gridSpan w:val="6"/>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drawing>
                <wp:anchor distT="0" distB="0" distL="114300" distR="114300" simplePos="0" relativeHeight="251669504" behindDoc="0" locked="0" layoutInCell="1" allowOverlap="1">
                  <wp:simplePos x="0" y="0"/>
                  <wp:positionH relativeFrom="column">
                    <wp:posOffset>2677160</wp:posOffset>
                  </wp:positionH>
                  <wp:positionV relativeFrom="paragraph">
                    <wp:posOffset>44450</wp:posOffset>
                  </wp:positionV>
                  <wp:extent cx="274320" cy="306705"/>
                  <wp:effectExtent l="0" t="0" r="11430" b="17145"/>
                  <wp:wrapNone/>
                  <wp:docPr id="11" name="Picture_417"/>
                  <wp:cNvGraphicFramePr/>
                  <a:graphic xmlns:a="http://schemas.openxmlformats.org/drawingml/2006/main">
                    <a:graphicData uri="http://schemas.openxmlformats.org/drawingml/2006/picture">
                      <pic:pic xmlns:pic="http://schemas.openxmlformats.org/drawingml/2006/picture">
                        <pic:nvPicPr>
                          <pic:cNvPr id="11" name="Picture_417"/>
                          <pic:cNvPicPr/>
                        </pic:nvPicPr>
                        <pic:blipFill>
                          <a:blip r:embed="rId11"/>
                          <a:stretch>
                            <a:fillRect/>
                          </a:stretch>
                        </pic:blipFill>
                        <pic:spPr>
                          <a:xfrm>
                            <a:off x="0" y="0"/>
                            <a:ext cx="274320" cy="306705"/>
                          </a:xfrm>
                          <a:prstGeom prst="rect">
                            <a:avLst/>
                          </a:prstGeom>
                          <a:noFill/>
                          <a:ln>
                            <a:noFill/>
                          </a:ln>
                        </pic:spPr>
                      </pic:pic>
                    </a:graphicData>
                  </a:graphic>
                </wp:anchor>
              </w:drawing>
            </w:r>
            <w:r>
              <w:rPr>
                <w:rFonts w:hint="eastAsia" w:cs="宋体" w:asciiTheme="minorEastAsia" w:hAnsiTheme="minorEastAsia"/>
                <w:b/>
                <w:color w:val="000000"/>
                <w:kern w:val="0"/>
                <w:szCs w:val="21"/>
              </w:rPr>
              <w:drawing>
                <wp:anchor distT="0" distB="0" distL="114300" distR="114300" simplePos="0" relativeHeight="251668480" behindDoc="0" locked="0" layoutInCell="1" allowOverlap="1">
                  <wp:simplePos x="0" y="0"/>
                  <wp:positionH relativeFrom="column">
                    <wp:posOffset>1196340</wp:posOffset>
                  </wp:positionH>
                  <wp:positionV relativeFrom="paragraph">
                    <wp:posOffset>51435</wp:posOffset>
                  </wp:positionV>
                  <wp:extent cx="487680" cy="299720"/>
                  <wp:effectExtent l="0" t="0" r="7620" b="5080"/>
                  <wp:wrapNone/>
                  <wp:docPr id="12" name="Picture_416"/>
                  <wp:cNvGraphicFramePr/>
                  <a:graphic xmlns:a="http://schemas.openxmlformats.org/drawingml/2006/main">
                    <a:graphicData uri="http://schemas.openxmlformats.org/drawingml/2006/picture">
                      <pic:pic xmlns:pic="http://schemas.openxmlformats.org/drawingml/2006/picture">
                        <pic:nvPicPr>
                          <pic:cNvPr id="12" name="Picture_416"/>
                          <pic:cNvPicPr/>
                        </pic:nvPicPr>
                        <pic:blipFill>
                          <a:blip r:embed="rId12"/>
                          <a:stretch>
                            <a:fillRect/>
                          </a:stretch>
                        </pic:blipFill>
                        <pic:spPr>
                          <a:xfrm>
                            <a:off x="0" y="0"/>
                            <a:ext cx="487680" cy="2997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 xml:space="preserve">2.83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1.8*1.8*1个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1378" w:hRule="atLeast"/>
        </w:trPr>
        <w:tc>
          <w:tcPr>
            <w:tcW w:w="9229" w:type="dxa"/>
            <w:gridSpan w:val="6"/>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70528" behindDoc="0" locked="0" layoutInCell="1" allowOverlap="1">
                  <wp:simplePos x="0" y="0"/>
                  <wp:positionH relativeFrom="column">
                    <wp:posOffset>437515</wp:posOffset>
                  </wp:positionH>
                  <wp:positionV relativeFrom="paragraph">
                    <wp:posOffset>187325</wp:posOffset>
                  </wp:positionV>
                  <wp:extent cx="4800600" cy="626745"/>
                  <wp:effectExtent l="0" t="0" r="0" b="1905"/>
                  <wp:wrapNone/>
                  <wp:docPr id="14" name="Picture_433"/>
                  <wp:cNvGraphicFramePr/>
                  <a:graphic xmlns:a="http://schemas.openxmlformats.org/drawingml/2006/main">
                    <a:graphicData uri="http://schemas.openxmlformats.org/drawingml/2006/picture">
                      <pic:pic xmlns:pic="http://schemas.openxmlformats.org/drawingml/2006/picture">
                        <pic:nvPicPr>
                          <pic:cNvPr id="14" name="Picture_433"/>
                          <pic:cNvPicPr/>
                        </pic:nvPicPr>
                        <pic:blipFill>
                          <a:blip r:embed="rId13"/>
                          <a:stretch>
                            <a:fillRect/>
                          </a:stretch>
                        </pic:blipFill>
                        <pic:spPr>
                          <a:xfrm>
                            <a:off x="0" y="0"/>
                            <a:ext cx="4800600" cy="6267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bl>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6</w:t>
      </w:r>
      <w:r>
        <w:rPr>
          <w:rFonts w:hint="eastAsia" w:cs="宋体" w:asciiTheme="minorEastAsia" w:hAnsiTheme="minorEastAsia"/>
          <w:sz w:val="28"/>
          <w:szCs w:val="28"/>
          <w:lang w:val="zh-CN"/>
        </w:rPr>
        <w:t>、维保范围：包括所有门诊部，住院部顶部，连接体部分，侧面墙体和门厅上部等发光大字。</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7</w:t>
      </w:r>
      <w:r>
        <w:rPr>
          <w:rFonts w:hint="eastAsia" w:cs="宋体" w:asciiTheme="minorEastAsia" w:hAnsiTheme="minorEastAsia"/>
          <w:sz w:val="28"/>
          <w:szCs w:val="28"/>
          <w:lang w:val="zh-CN"/>
        </w:rPr>
        <w:t>、安全责任：</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施工安全责任：施工单位落实相关安全责任与甲方签订安全生产责任状，提供相关作业人员资格证书独立承担安全责任。</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施工单位落实字牌灯安全防护巡查，制定巡查巡检计划、实施措施，维护记录，切实做好防腐防锈支撑结构的安全维护，避免发生跌落高空坠物等恶性事件，并独立承担安全责任。</w:t>
      </w:r>
    </w:p>
    <w:p>
      <w:pPr>
        <w:numPr>
          <w:ilvl w:val="0"/>
          <w:numId w:val="0"/>
        </w:numPr>
        <w:autoSpaceDE w:val="0"/>
        <w:autoSpaceDN w:val="0"/>
        <w:adjustRightInd w:val="0"/>
        <w:spacing w:line="360" w:lineRule="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8、协助甲方申请字牌灯备案工作。</w:t>
      </w:r>
    </w:p>
    <w:p>
      <w:pPr>
        <w:numPr>
          <w:ilvl w:val="0"/>
          <w:numId w:val="0"/>
        </w:numPr>
        <w:autoSpaceDE w:val="0"/>
        <w:autoSpaceDN w:val="0"/>
        <w:adjustRightInd w:val="0"/>
        <w:spacing w:line="360" w:lineRule="auto"/>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9、如遇行政部门责令拆除字牌灯，则合同在拆除当月终止。</w:t>
      </w:r>
    </w:p>
    <w:p>
      <w:pPr>
        <w:numPr>
          <w:ilvl w:val="0"/>
          <w:numId w:val="0"/>
        </w:num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二、</w:t>
      </w:r>
      <w:r>
        <w:rPr>
          <w:rFonts w:hint="eastAsia" w:cs="宋体" w:asciiTheme="minorEastAsia" w:hAnsiTheme="minorEastAsia"/>
          <w:sz w:val="28"/>
          <w:szCs w:val="28"/>
          <w:lang w:val="zh-CN"/>
        </w:rPr>
        <w:t>服务要求：接到故障报修</w:t>
      </w:r>
      <w:r>
        <w:rPr>
          <w:rFonts w:hint="eastAsia" w:cs="宋体" w:asciiTheme="minorEastAsia" w:hAnsiTheme="minorEastAsia"/>
          <w:sz w:val="28"/>
          <w:szCs w:val="28"/>
          <w:lang w:val="en-US" w:eastAsia="zh-CN"/>
        </w:rPr>
        <w:t>后，</w:t>
      </w:r>
      <w:r>
        <w:rPr>
          <w:rFonts w:hint="eastAsia" w:cs="宋体" w:asciiTheme="minorEastAsia" w:hAnsiTheme="minorEastAsia"/>
          <w:sz w:val="28"/>
          <w:szCs w:val="28"/>
          <w:lang w:val="zh-CN"/>
        </w:rPr>
        <w:t>24小时内排除故障。</w:t>
      </w:r>
    </w:p>
    <w:p>
      <w:pPr>
        <w:numPr>
          <w:ilvl w:val="0"/>
          <w:numId w:val="1"/>
        </w:numPr>
        <w:autoSpaceDE w:val="0"/>
        <w:autoSpaceDN w:val="0"/>
        <w:adjustRightInd w:val="0"/>
        <w:spacing w:line="360" w:lineRule="auto"/>
        <w:ind w:left="0" w:leftChars="0" w:firstLine="0" w:firstLineChars="0"/>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服务期限：一年</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sz w:val="28"/>
          <w:szCs w:val="28"/>
        </w:rPr>
      </w:pPr>
    </w:p>
    <w:p>
      <w:pPr>
        <w:pStyle w:val="30"/>
        <w:spacing w:before="0" w:after="0"/>
        <w:ind w:firstLine="3626" w:firstLineChars="1290"/>
        <w:jc w:val="both"/>
        <w:rPr>
          <w:rFonts w:ascii="黑体" w:hAnsi="黑体" w:eastAsia="黑体"/>
          <w:sz w:val="32"/>
        </w:rPr>
      </w:pPr>
      <w:bookmarkStart w:id="15" w:name="_Toc373226410"/>
      <w:r>
        <w:rPr>
          <w:rFonts w:ascii="宋体" w:hAnsi="宋体" w:eastAsia="宋体"/>
          <w:sz w:val="28"/>
          <w:szCs w:val="28"/>
        </w:rPr>
        <w:br w:type="page"/>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8"/>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0"/>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7892"/>
      <w:bookmarkStart w:id="26" w:name="_Toc26377924"/>
      <w:bookmarkStart w:id="27" w:name="_Toc26378003"/>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28"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8"/>
    <w:p>
      <w:pPr>
        <w:autoSpaceDE w:val="0"/>
        <w:autoSpaceDN w:val="0"/>
        <w:jc w:val="center"/>
        <w:rPr>
          <w:rFonts w:ascii="宋体" w:hAnsi="宋体"/>
          <w:b/>
          <w:sz w:val="32"/>
          <w:szCs w:val="32"/>
        </w:rPr>
      </w:pPr>
    </w:p>
    <w:p>
      <w:pPr>
        <w:pStyle w:val="18"/>
        <w:jc w:val="center"/>
        <w:rPr>
          <w:rFonts w:hAnsi="宋体"/>
          <w:b/>
          <w:color w:val="FF0000"/>
          <w:sz w:val="32"/>
          <w:szCs w:val="32"/>
          <w:lang w:val="zh-CN"/>
        </w:rPr>
      </w:pPr>
    </w:p>
    <w:p>
      <w:pPr>
        <w:pStyle w:val="18"/>
        <w:jc w:val="both"/>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三、中小企业声明函(货物)</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如供应商属于小微企业，需填写响应文件第三条中的小微企业声明函，同时提供</w:t>
      </w:r>
      <w:r>
        <w:rPr>
          <w:rFonts w:ascii="宋体" w:hAnsi="宋体"/>
          <w:b/>
          <w:sz w:val="24"/>
        </w:rPr>
        <w:t>http://www.gsxt.gov.cn/index.html网站中小微企业查询网页截图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中小企业声明函(工程、服务)</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如供应商属于小微企业，需填写响应文件第三条中的小微企业声明函，同时提供</w:t>
      </w:r>
      <w:r>
        <w:rPr>
          <w:rFonts w:ascii="宋体" w:hAnsi="宋体"/>
          <w:b/>
          <w:sz w:val="24"/>
        </w:rPr>
        <w:t>http://www.gsxt.gov.cn/index.html网站中小微企业查询网页截图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082"/>
        <w:gridCol w:w="1118"/>
        <w:gridCol w:w="1984"/>
        <w:gridCol w:w="993"/>
        <w:gridCol w:w="226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082"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118"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984"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993"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2268"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984" w:type="dxa"/>
            <w:shd w:val="clear" w:color="auto" w:fill="auto"/>
          </w:tcPr>
          <w:p>
            <w:pPr>
              <w:pStyle w:val="19"/>
              <w:ind w:left="5250"/>
              <w:jc w:val="center"/>
              <w:rPr>
                <w:rFonts w:ascii="宋体" w:hAnsi="宋体"/>
                <w:sz w:val="28"/>
                <w:szCs w:val="28"/>
              </w:rPr>
            </w:pPr>
          </w:p>
        </w:tc>
        <w:tc>
          <w:tcPr>
            <w:tcW w:w="993" w:type="dxa"/>
            <w:shd w:val="clear" w:color="auto" w:fill="auto"/>
          </w:tcPr>
          <w:p>
            <w:pPr>
              <w:pStyle w:val="19"/>
              <w:ind w:left="5250"/>
              <w:jc w:val="center"/>
              <w:rPr>
                <w:rFonts w:ascii="宋体" w:hAnsi="宋体"/>
                <w:sz w:val="28"/>
                <w:szCs w:val="28"/>
              </w:rPr>
            </w:pPr>
          </w:p>
        </w:tc>
        <w:tc>
          <w:tcPr>
            <w:tcW w:w="2268"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p>
        </w:tc>
        <w:tc>
          <w:tcPr>
            <w:tcW w:w="1984" w:type="dxa"/>
            <w:shd w:val="clear" w:color="auto" w:fill="auto"/>
          </w:tcPr>
          <w:p>
            <w:pPr>
              <w:pStyle w:val="19"/>
              <w:ind w:left="5250"/>
              <w:jc w:val="center"/>
              <w:rPr>
                <w:rFonts w:ascii="宋体" w:hAnsi="宋体"/>
                <w:sz w:val="28"/>
                <w:szCs w:val="28"/>
              </w:rPr>
            </w:pPr>
          </w:p>
        </w:tc>
        <w:tc>
          <w:tcPr>
            <w:tcW w:w="993" w:type="dxa"/>
            <w:shd w:val="clear" w:color="auto" w:fill="auto"/>
          </w:tcPr>
          <w:p>
            <w:pPr>
              <w:pStyle w:val="19"/>
              <w:ind w:left="5250"/>
              <w:jc w:val="center"/>
              <w:rPr>
                <w:rFonts w:ascii="宋体" w:hAnsi="宋体"/>
                <w:sz w:val="28"/>
                <w:szCs w:val="28"/>
              </w:rPr>
            </w:pPr>
          </w:p>
        </w:tc>
        <w:tc>
          <w:tcPr>
            <w:tcW w:w="2268"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期：2021</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rPr>
        <w:t>2.开户许可证；</w:t>
      </w:r>
    </w:p>
    <w:p>
      <w:pPr>
        <w:pStyle w:val="18"/>
        <w:spacing w:line="440" w:lineRule="exact"/>
        <w:ind w:firstLine="560" w:firstLineChars="200"/>
        <w:rPr>
          <w:rFonts w:hint="eastAsia" w:hAnsi="宋体"/>
          <w:sz w:val="28"/>
          <w:szCs w:val="28"/>
        </w:rPr>
      </w:pPr>
      <w:r>
        <w:rPr>
          <w:rFonts w:hint="eastAsia" w:hAnsi="宋体"/>
          <w:sz w:val="28"/>
          <w:szCs w:val="28"/>
        </w:rPr>
        <w:t>3.</w:t>
      </w:r>
      <w:r>
        <w:rPr>
          <w:rFonts w:hint="eastAsia" w:hAnsi="宋体"/>
          <w:sz w:val="28"/>
          <w:szCs w:val="28"/>
          <w:lang w:val="en-US" w:eastAsia="zh-CN"/>
        </w:rPr>
        <w:t>操作人员需具备高空作业证、低压电工作业证、焊接与热切割作业证</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lang w:val="en-US" w:eastAsia="zh-CN"/>
        </w:rPr>
        <w:t>4</w:t>
      </w:r>
      <w:r>
        <w:rPr>
          <w:rFonts w:hint="eastAsia" w:hAnsi="宋体"/>
          <w:sz w:val="28"/>
          <w:szCs w:val="28"/>
        </w:rPr>
        <w:t>.投标单位近三个月缴纳社会保险证明材料；</w:t>
      </w:r>
    </w:p>
    <w:p>
      <w:pPr>
        <w:pStyle w:val="18"/>
        <w:spacing w:line="440" w:lineRule="exact"/>
        <w:ind w:firstLine="560" w:firstLineChars="200"/>
        <w:rPr>
          <w:rFonts w:hAnsi="宋体"/>
          <w:sz w:val="28"/>
          <w:szCs w:val="28"/>
        </w:rPr>
      </w:pPr>
      <w:r>
        <w:rPr>
          <w:rFonts w:hint="eastAsia" w:hAnsi="宋体"/>
          <w:sz w:val="28"/>
          <w:szCs w:val="28"/>
          <w:lang w:val="en-US" w:eastAsia="zh-CN"/>
        </w:rPr>
        <w:t>5</w:t>
      </w:r>
      <w:r>
        <w:rPr>
          <w:rFonts w:hint="eastAsia" w:hAnsi="宋体"/>
          <w:sz w:val="28"/>
          <w:szCs w:val="28"/>
        </w:rPr>
        <w:t>.投标单位近三个月缴税付款凭证；</w:t>
      </w:r>
    </w:p>
    <w:p>
      <w:pPr>
        <w:pStyle w:val="18"/>
        <w:spacing w:line="440" w:lineRule="exact"/>
        <w:ind w:firstLine="560" w:firstLineChars="200"/>
        <w:rPr>
          <w:rFonts w:hAnsi="宋体"/>
          <w:sz w:val="28"/>
          <w:szCs w:val="28"/>
        </w:rPr>
      </w:pPr>
      <w:r>
        <w:rPr>
          <w:rFonts w:hint="eastAsia" w:hAnsi="宋体"/>
          <w:sz w:val="28"/>
          <w:szCs w:val="28"/>
          <w:lang w:val="en-US" w:eastAsia="zh-CN"/>
        </w:rPr>
        <w:t>6</w:t>
      </w:r>
      <w:r>
        <w:rPr>
          <w:rFonts w:hint="eastAsia" w:hAnsi="宋体"/>
          <w:sz w:val="28"/>
          <w:szCs w:val="28"/>
        </w:rPr>
        <w:t>.投标单位上一年度财务报表；</w:t>
      </w:r>
    </w:p>
    <w:p>
      <w:pPr>
        <w:pStyle w:val="18"/>
        <w:spacing w:line="440" w:lineRule="exact"/>
        <w:ind w:firstLine="560" w:firstLineChars="200"/>
        <w:rPr>
          <w:rFonts w:hAnsi="宋体"/>
          <w:sz w:val="28"/>
          <w:szCs w:val="28"/>
        </w:rPr>
      </w:pPr>
      <w:r>
        <w:rPr>
          <w:rFonts w:hint="eastAsia" w:hAnsi="宋体"/>
          <w:sz w:val="28"/>
          <w:szCs w:val="28"/>
          <w:lang w:val="en-US" w:eastAsia="zh-CN"/>
        </w:rPr>
        <w:t>7</w:t>
      </w:r>
      <w:r>
        <w:rPr>
          <w:rFonts w:hint="eastAsia" w:hAnsi="宋体"/>
          <w:sz w:val="28"/>
          <w:szCs w:val="28"/>
        </w:rPr>
        <w:t>.近三年内没有违法犯罪不良记录声明；</w:t>
      </w:r>
    </w:p>
    <w:p>
      <w:pPr>
        <w:pStyle w:val="18"/>
        <w:spacing w:line="440" w:lineRule="exact"/>
        <w:ind w:firstLine="560" w:firstLineChars="200"/>
        <w:rPr>
          <w:rFonts w:hAnsi="宋体"/>
          <w:sz w:val="28"/>
          <w:szCs w:val="28"/>
        </w:rPr>
      </w:pPr>
      <w:r>
        <w:rPr>
          <w:rFonts w:hint="eastAsia" w:hAnsi="宋体"/>
          <w:sz w:val="28"/>
          <w:szCs w:val="28"/>
          <w:lang w:val="en-US" w:eastAsia="zh-CN"/>
        </w:rPr>
        <w:t>8</w:t>
      </w:r>
      <w:r>
        <w:rPr>
          <w:rFonts w:hint="eastAsia" w:hAnsi="宋体"/>
          <w:sz w:val="28"/>
          <w:szCs w:val="28"/>
        </w:rPr>
        <w:t>.信用中国网、中国政府采购网信用记录查询结果网页截图。</w:t>
      </w:r>
    </w:p>
    <w:p>
      <w:pPr>
        <w:pStyle w:val="18"/>
        <w:spacing w:line="440" w:lineRule="exact"/>
        <w:ind w:firstLine="560" w:firstLineChars="200"/>
        <w:rPr>
          <w:rFonts w:hAnsi="宋体"/>
          <w:sz w:val="28"/>
          <w:szCs w:val="28"/>
        </w:rPr>
      </w:pPr>
      <w:r>
        <w:rPr>
          <w:rFonts w:hint="eastAsia" w:hAnsi="宋体"/>
          <w:sz w:val="28"/>
          <w:szCs w:val="28"/>
          <w:lang w:val="en-US" w:eastAsia="zh-CN"/>
        </w:rPr>
        <w:t>9</w:t>
      </w:r>
      <w:r>
        <w:rPr>
          <w:rFonts w:hint="eastAsia" w:hAnsi="宋体"/>
          <w:sz w:val="28"/>
          <w:szCs w:val="28"/>
        </w:rPr>
        <w:t>.如供应商属于小微企业，需填写响应文件第三条中的小微企业声明函，同时提供</w:t>
      </w:r>
      <w:r>
        <w:rPr>
          <w:rFonts w:hAnsi="宋体"/>
          <w:sz w:val="28"/>
          <w:szCs w:val="28"/>
        </w:rPr>
        <w:t>http://www.gsxt.gov.cn/index.html网站中小微企业查询网页截图</w:t>
      </w: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rPr>
          <w:rFonts w:hAnsi="宋体"/>
          <w:sz w:val="28"/>
          <w:szCs w:val="28"/>
        </w:rPr>
      </w:pP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29" w:name="_Toc266431151"/>
      <w:bookmarkStart w:id="30" w:name="_Toc266776880"/>
      <w:r>
        <w:rPr>
          <w:rFonts w:hint="eastAsia" w:hAnsi="宋体"/>
          <w:sz w:val="28"/>
          <w:szCs w:val="28"/>
        </w:rPr>
        <w:t>3.1 生产厂家售后服务机构、联系人、联系电话</w:t>
      </w:r>
      <w:bookmarkEnd w:id="29"/>
      <w:bookmarkEnd w:id="30"/>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1" w:name="_Toc266431152"/>
      <w:bookmarkStart w:id="32" w:name="_Toc266776881"/>
      <w:r>
        <w:rPr>
          <w:rFonts w:hint="eastAsia" w:hAnsi="宋体"/>
          <w:sz w:val="28"/>
          <w:szCs w:val="28"/>
        </w:rPr>
        <w:t>3.2 本地化售后服务网点分布、机构名称、联系人、联系电话。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776882"/>
      <w:bookmarkStart w:id="34" w:name="_Toc266431153"/>
      <w:r>
        <w:rPr>
          <w:rFonts w:hint="eastAsia" w:hAnsi="宋体"/>
          <w:sz w:val="28"/>
          <w:szCs w:val="28"/>
        </w:rPr>
        <w:t>3.3 售后服务人员及技术职称情况。</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776883"/>
      <w:bookmarkStart w:id="36" w:name="_Toc266431154"/>
      <w:r>
        <w:rPr>
          <w:rFonts w:hint="eastAsia" w:hAnsi="宋体"/>
          <w:sz w:val="28"/>
          <w:szCs w:val="28"/>
        </w:rPr>
        <w:t>（以上内容可视具体情况删改）</w:t>
      </w:r>
      <w:bookmarkEnd w:id="35"/>
      <w:bookmarkEnd w:id="36"/>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ascii="宋体" w:hAnsi="宋体" w:eastAsia="宋体"/>
          <w:sz w:val="32"/>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35</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96A38"/>
    <w:multiLevelType w:val="singleLevel"/>
    <w:tmpl w:val="A3896A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337CF"/>
    <w:rsid w:val="001E48C5"/>
    <w:rsid w:val="00252624"/>
    <w:rsid w:val="003677F6"/>
    <w:rsid w:val="00A7132F"/>
    <w:rsid w:val="00AB2799"/>
    <w:rsid w:val="00AC14A3"/>
    <w:rsid w:val="00F02051"/>
    <w:rsid w:val="00F27AF2"/>
    <w:rsid w:val="00F56B54"/>
    <w:rsid w:val="1C9A31DF"/>
    <w:rsid w:val="347B37A5"/>
    <w:rsid w:val="34F34BD4"/>
    <w:rsid w:val="48503ED4"/>
    <w:rsid w:val="557B16B8"/>
    <w:rsid w:val="5B9B4F16"/>
    <w:rsid w:val="5C9851D6"/>
    <w:rsid w:val="6249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qFormat/>
    <w:uiPriority w:val="0"/>
    <w:pPr>
      <w:spacing w:beforeLines="50" w:line="360" w:lineRule="auto"/>
      <w:ind w:firstLine="425" w:firstLineChars="177"/>
    </w:pPr>
  </w:style>
  <w:style w:type="paragraph" w:styleId="13">
    <w:name w:val="Document Map"/>
    <w:basedOn w:val="1"/>
    <w:link w:val="78"/>
    <w:uiPriority w:val="0"/>
    <w:pPr>
      <w:shd w:val="clear" w:color="auto" w:fill="000080"/>
    </w:pPr>
    <w:rPr>
      <w:szCs w:val="20"/>
    </w:rPr>
  </w:style>
  <w:style w:type="paragraph" w:styleId="14">
    <w:name w:val="toa heading"/>
    <w:basedOn w:val="1"/>
    <w:next w:val="1"/>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uiPriority w:val="0"/>
    <w:pPr>
      <w:jc w:val="left"/>
    </w:pPr>
  </w:style>
  <w:style w:type="paragraph" w:styleId="16">
    <w:name w:val="Body Text"/>
    <w:basedOn w:val="1"/>
    <w:link w:val="54"/>
    <w:uiPriority w:val="0"/>
    <w:rPr>
      <w:sz w:val="32"/>
    </w:rPr>
  </w:style>
  <w:style w:type="paragraph" w:styleId="17">
    <w:name w:val="Body Text Indent"/>
    <w:basedOn w:val="1"/>
    <w:link w:val="55"/>
    <w:unhideWhenUsed/>
    <w:qFormat/>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qFormat/>
    <w:uiPriority w:val="0"/>
    <w:rPr>
      <w:sz w:val="18"/>
      <w:szCs w:val="18"/>
    </w:rPr>
  </w:style>
  <w:style w:type="paragraph" w:styleId="22">
    <w:name w:val="footer"/>
    <w:basedOn w:val="1"/>
    <w:link w:val="51"/>
    <w:unhideWhenUsed/>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uiPriority w:val="0"/>
    <w:pPr>
      <w:jc w:val="center"/>
      <w:outlineLvl w:val="5"/>
    </w:pPr>
    <w:rPr>
      <w:rFonts w:ascii="宋体" w:hAnsi="宋体"/>
      <w:sz w:val="15"/>
      <w:szCs w:val="20"/>
    </w:rPr>
  </w:style>
  <w:style w:type="paragraph" w:styleId="26">
    <w:name w:val="Body Text Indent 3"/>
    <w:basedOn w:val="1"/>
    <w:link w:val="80"/>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uiPriority w:val="0"/>
    <w:rPr>
      <w:rFonts w:asciiTheme="minorHAnsi" w:hAnsiTheme="minorHAnsi" w:eastAsiaTheme="minorEastAsia" w:cstheme="minorBidi"/>
      <w:szCs w:val="22"/>
    </w:rPr>
  </w:style>
  <w:style w:type="paragraph" w:styleId="32">
    <w:name w:val="Body Text First Indent"/>
    <w:basedOn w:val="16"/>
    <w:link w:val="89"/>
    <w:uiPriority w:val="0"/>
    <w:pPr>
      <w:spacing w:after="120"/>
      <w:ind w:firstLine="420" w:firstLineChars="100"/>
    </w:pPr>
  </w:style>
  <w:style w:type="paragraph" w:styleId="33">
    <w:name w:val="Body Text First Indent 2"/>
    <w:basedOn w:val="17"/>
    <w:link w:val="91"/>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uiPriority w:val="0"/>
    <w:rPr>
      <w:rFonts w:ascii="Times New Roman" w:hAnsi="Times New Roman" w:eastAsia="宋体" w:cs="Times New Roman"/>
      <w:sz w:val="28"/>
      <w:szCs w:val="20"/>
    </w:rPr>
  </w:style>
  <w:style w:type="character" w:customStyle="1" w:styleId="45">
    <w:name w:val="标题 5 Char"/>
    <w:basedOn w:val="36"/>
    <w:link w:val="6"/>
    <w:uiPriority w:val="0"/>
    <w:rPr>
      <w:rFonts w:ascii="Times New Roman" w:hAnsi="Times New Roman" w:eastAsia="宋体" w:cs="Times New Roman"/>
      <w:sz w:val="28"/>
      <w:szCs w:val="20"/>
    </w:rPr>
  </w:style>
  <w:style w:type="character" w:customStyle="1" w:styleId="46">
    <w:name w:val="标题 6 Char"/>
    <w:basedOn w:val="36"/>
    <w:link w:val="7"/>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uiPriority w:val="0"/>
    <w:rPr>
      <w:rFonts w:ascii="Arial" w:hAnsi="Arial" w:eastAsia="黑体" w:cs="Times New Roman"/>
      <w:sz w:val="24"/>
      <w:szCs w:val="20"/>
    </w:rPr>
  </w:style>
  <w:style w:type="character" w:customStyle="1" w:styleId="49">
    <w:name w:val="标题 9 Char"/>
    <w:basedOn w:val="36"/>
    <w:link w:val="10"/>
    <w:qFormat/>
    <w:uiPriority w:val="0"/>
    <w:rPr>
      <w:rFonts w:ascii="Arial" w:hAnsi="Arial" w:eastAsia="黑体" w:cs="Times New Roman"/>
      <w:sz w:val="28"/>
      <w:szCs w:val="20"/>
    </w:rPr>
  </w:style>
  <w:style w:type="character" w:customStyle="1" w:styleId="50">
    <w:name w:val="页眉 Char"/>
    <w:basedOn w:val="36"/>
    <w:link w:val="23"/>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qFormat/>
    <w:uiPriority w:val="0"/>
  </w:style>
  <w:style w:type="character" w:customStyle="1" w:styleId="61">
    <w:name w:val="批注文字 Char"/>
    <w:basedOn w:val="36"/>
    <w:uiPriority w:val="0"/>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uiPriority w:val="0"/>
    <w:rPr>
      <w:rFonts w:ascii="宋体"/>
    </w:rPr>
  </w:style>
  <w:style w:type="paragraph" w:customStyle="1" w:styleId="65">
    <w:name w:val="报告内容 Char Char"/>
    <w:basedOn w:val="1"/>
    <w:link w:val="64"/>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uiPriority w:val="0"/>
    <w:rPr>
      <w:rFonts w:ascii="黑体" w:hAnsi="宋体" w:eastAsia="黑体"/>
      <w:sz w:val="28"/>
    </w:rPr>
  </w:style>
  <w:style w:type="paragraph" w:customStyle="1" w:styleId="69">
    <w:name w:val="二级标题 Char Char"/>
    <w:basedOn w:val="18"/>
    <w:link w:val="68"/>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8"/>
    <w:link w:val="76"/>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uiPriority w:val="0"/>
    <w:pPr>
      <w:spacing w:line="240" w:lineRule="exact"/>
      <w:jc w:val="center"/>
    </w:pPr>
    <w:rPr>
      <w:rFonts w:ascii="宋体" w:hAnsi="宋体"/>
      <w:szCs w:val="20"/>
    </w:rPr>
  </w:style>
  <w:style w:type="character" w:customStyle="1" w:styleId="83">
    <w:name w:val="批注框文本 Char1"/>
    <w:basedOn w:val="36"/>
    <w:semiHidden/>
    <w:uiPriority w:val="99"/>
    <w:rPr>
      <w:sz w:val="18"/>
      <w:szCs w:val="18"/>
    </w:rPr>
  </w:style>
  <w:style w:type="paragraph" w:customStyle="1" w:styleId="84">
    <w:name w:val="表3-11"/>
    <w:basedOn w:val="82"/>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uiPriority w:val="0"/>
  </w:style>
  <w:style w:type="character" w:customStyle="1" w:styleId="89">
    <w:name w:val="正文首行缩进 Char1"/>
    <w:basedOn w:val="54"/>
    <w:link w:val="32"/>
    <w:semiHidden/>
    <w:uiPriority w:val="99"/>
  </w:style>
  <w:style w:type="character" w:customStyle="1" w:styleId="90">
    <w:name w:val="正文首行缩进 2 Char"/>
    <w:basedOn w:val="55"/>
    <w:link w:val="33"/>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2"/>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6"/>
    <w:qFormat/>
    <w:uiPriority w:val="99"/>
    <w:pPr>
      <w:spacing w:line="360" w:lineRule="auto"/>
      <w:ind w:firstLine="420" w:firstLineChars="100"/>
    </w:pPr>
    <w:rPr>
      <w:sz w:val="24"/>
      <w:szCs w:val="20"/>
    </w:rPr>
  </w:style>
  <w:style w:type="character" w:customStyle="1" w:styleId="99">
    <w:name w:val="font71"/>
    <w:basedOn w:val="36"/>
    <w:qFormat/>
    <w:uiPriority w:val="0"/>
    <w:rPr>
      <w:rFonts w:hint="eastAsia" w:ascii="宋体" w:hAnsi="宋体" w:eastAsia="宋体" w:cs="宋体"/>
      <w:b/>
      <w:color w:val="000000"/>
      <w:sz w:val="32"/>
      <w:szCs w:val="32"/>
      <w:u w:val="none"/>
    </w:rPr>
  </w:style>
  <w:style w:type="character" w:customStyle="1" w:styleId="100">
    <w:name w:val="font51"/>
    <w:basedOn w:val="3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2517</Words>
  <Characters>14351</Characters>
  <Lines>119</Lines>
  <Paragraphs>33</Paragraphs>
  <TotalTime>0</TotalTime>
  <ScaleCrop>false</ScaleCrop>
  <LinksUpToDate>false</LinksUpToDate>
  <CharactersWithSpaces>16835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2021-09-16T08:39:08Z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